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การแจ้งดัดแปลงอาคารตามมาตรา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032-470417/ติดต่อด้วยตนเอง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(เอกสารในส่วนของผู้แจ้งดัดแปลงอาคาร)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(ระดับวุฒิสถาปนิก)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 (เอกสารในส่วนของผู้ออกแบบ))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76120 โทร 032-470417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การแจ้งดัดแปลงอาคารตามมาตรา 39 ทวิ  นายปิยะ  แตงชุ่ม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