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 นางสาวเกศสุดา เทียนฤกษ์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