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การแจ้งเคลื่อนย้ายอาคารตามมาตรา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ผูใดจะเคลื่อนย้ายอาคารโดยไมยื่นคําขอรับใบอนุญาตจากเจาพนักงานทองถิ่นก็ได โดยการแจ้งตอเจาพนักงานทองถิ่นตามมาตรา 39ทวิ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120วันนับแต่วันที่ได้ออกใบรับแจ้งตามมาตรา 39ทวิ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032-470417/ติดต่อด้วยตนเอง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แจ้งเคลื่อนย้ายอาคาร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เจ้าพนักงานท้องถิ่นตรวจพิจารณาแบบแปลนและมีหนังสือแจ้งผู้ยื่นแจ้งทราบ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หนังสือมอบอำนาจเจ้าของที่ดิน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สำเนาบัตรประชาชนและสำเนาทะเบียนบ้านของผู้มีอำนาจลงนามแทนนิติบุคคลผู้รับมอบอำนาจเจ้าของที่ดิน (กรณีนิติบุคคลเป็นเจ้าของที่ดิน)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032-470417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การแจ้งเคลื่อนย้ายอาคารตามมาตรา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การแจ้งเคลื่อนย้ายอาคารตามมาตรา 39 ทวิ นายปิยะ  แตงชุ่ม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