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ผู้ร้อง ได้แก่ เจ้าของรายการหรือผู้มีส่วนได้เสียจะขอให้นายทะเบียน ตรวจ คัด หรือคัดและรับรองสำเนารายการเอกสารทะเบียนราษฎรซึ่งเป็นต้นฉบับ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สำนักทะเบียนจังหวัด หรือสำนักทะเบียนอำเภอ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(สำนักทะเบียนที่จัดทำทะเบียนราษฎรด้วยระบบคอมพิวเตอร์ แห่งใดแห่งหนึ่งก็ได้)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กรณีเจ้าของรายการหรือผู้มีส่วนได้เสียมาดำเนินการด้วยตนเอง)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(ผู้มอบหมาย พร้อมหนังสือมอบหมาย กรณีที่มีการมอบหมาย)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หลักฐานที่แสดงความเป็นผู้มีส่วนได้เสีย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 นางโชติรส  เกิดผล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